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Style w:val="None"/>
          <w:outline w:val="0"/>
          <w:color w:val="2b5c86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rFonts w:cs="Arial Unicode MS" w:eastAsia="Arial Unicode MS"/>
          <w:b w:val="1"/>
          <w:bCs w:val="1"/>
          <w:outline w:val="0"/>
          <w:color w:val="2b5c86"/>
          <w:sz w:val="24"/>
          <w:szCs w:val="24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Risk Log Template 2</w:t>
      </w: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9"/>
        <w:gridCol w:w="1335"/>
        <w:gridCol w:w="386"/>
        <w:gridCol w:w="437"/>
        <w:gridCol w:w="774"/>
        <w:gridCol w:w="1019"/>
        <w:gridCol w:w="1067"/>
        <w:gridCol w:w="1991"/>
        <w:gridCol w:w="1991"/>
      </w:tblGrid>
      <w:tr>
        <w:tblPrEx>
          <w:shd w:val="clear" w:color="auto" w:fill="4f81bd"/>
        </w:tblPrEx>
        <w:trPr>
          <w:trHeight w:val="883" w:hRule="atLeast"/>
          <w:tblHeader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#</w:t>
            </w:r>
          </w:p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</w:t>
            </w:r>
          </w:p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Score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(P * I)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Status 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Owner</w:t>
            </w:r>
          </w:p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Possible Responses - Descriptions of Approaches</w:t>
            </w:r>
          </w:p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Selected Response</w:t>
            </w:r>
          </w:p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</w:p>
    <w:p>
      <w:pPr>
        <w:pStyle w:val="Normal.0"/>
        <w:spacing w:before="240" w:after="12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Risk Score: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Probability (P) multiplied by Impact (I)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before="120" w:after="12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Status: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Open or Closed</w:t>
      </w: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Risk Responses: </w:t>
      </w:r>
      <w:r>
        <w:rPr>
          <w:rStyle w:val="None"/>
          <w:sz w:val="20"/>
          <w:szCs w:val="20"/>
          <w:rtl w:val="0"/>
          <w:lang w:val="en-US"/>
        </w:rPr>
        <w:t>Avoid, Mitigate, Transfer, Accept</w:t>
      </w: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300 Brickstone Square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—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